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F6B20" w14:textId="77777777" w:rsidR="007A49B1" w:rsidRPr="007A49B1" w:rsidRDefault="007A49B1" w:rsidP="007A49B1">
      <w:pPr>
        <w:widowControl w:val="0"/>
        <w:autoSpaceDE w:val="0"/>
        <w:autoSpaceDN w:val="0"/>
        <w:adjustRightInd w:val="0"/>
        <w:rPr>
          <w:rFonts w:ascii="Times" w:hAnsi="Times" w:cs="Times"/>
          <w:color w:val="191919"/>
          <w:sz w:val="56"/>
          <w:szCs w:val="56"/>
          <w:lang w:val="en-US"/>
        </w:rPr>
      </w:pPr>
      <w:r>
        <w:rPr>
          <w:rFonts w:ascii="Times" w:hAnsi="Times" w:cs="Times"/>
          <w:color w:val="191919"/>
          <w:sz w:val="56"/>
          <w:szCs w:val="56"/>
          <w:lang w:val="en-US"/>
        </w:rPr>
        <w:t>Damages for breach of contract: a Russian and English law comparison</w:t>
      </w:r>
    </w:p>
    <w:p w14:paraId="302D758E" w14:textId="77777777" w:rsidR="007A49B1" w:rsidRDefault="007A49B1" w:rsidP="007A49B1">
      <w:pPr>
        <w:widowControl w:val="0"/>
        <w:autoSpaceDE w:val="0"/>
        <w:autoSpaceDN w:val="0"/>
        <w:adjustRightInd w:val="0"/>
        <w:rPr>
          <w:rFonts w:ascii="Arial" w:hAnsi="Arial" w:cs="Arial"/>
          <w:color w:val="191919"/>
          <w:sz w:val="28"/>
          <w:szCs w:val="28"/>
          <w:lang w:val="en-US"/>
        </w:rPr>
      </w:pPr>
    </w:p>
    <w:p w14:paraId="5B0394A3" w14:textId="77777777" w:rsidR="007A49B1" w:rsidRDefault="007A49B1" w:rsidP="007A49B1">
      <w:pPr>
        <w:widowControl w:val="0"/>
        <w:autoSpaceDE w:val="0"/>
        <w:autoSpaceDN w:val="0"/>
        <w:adjustRightInd w:val="0"/>
        <w:spacing w:after="180"/>
        <w:rPr>
          <w:rFonts w:ascii="Arial" w:hAnsi="Arial" w:cs="Arial"/>
          <w:b/>
          <w:bCs/>
          <w:sz w:val="44"/>
          <w:szCs w:val="44"/>
          <w:lang w:val="en-US"/>
        </w:rPr>
      </w:pPr>
      <w:r>
        <w:rPr>
          <w:rFonts w:ascii="Arial" w:hAnsi="Arial" w:cs="Arial"/>
          <w:b/>
          <w:bCs/>
          <w:sz w:val="44"/>
          <w:szCs w:val="44"/>
          <w:lang w:val="en-US"/>
        </w:rPr>
        <w:t>Calculation of damages for breach of contract</w:t>
      </w:r>
    </w:p>
    <w:p w14:paraId="336A1911" w14:textId="77777777" w:rsidR="007A49B1" w:rsidRDefault="007A49B1" w:rsidP="007A49B1">
      <w:pPr>
        <w:widowControl w:val="0"/>
        <w:autoSpaceDE w:val="0"/>
        <w:autoSpaceDN w:val="0"/>
        <w:adjustRightInd w:val="0"/>
        <w:rPr>
          <w:rFonts w:ascii="Arial" w:hAnsi="Arial" w:cs="Arial"/>
          <w:b/>
          <w:bCs/>
          <w:sz w:val="36"/>
          <w:szCs w:val="36"/>
          <w:lang w:val="en-US"/>
        </w:rPr>
      </w:pPr>
      <w:r>
        <w:rPr>
          <w:rFonts w:ascii="Arial" w:hAnsi="Arial" w:cs="Arial"/>
          <w:b/>
          <w:bCs/>
          <w:sz w:val="36"/>
          <w:szCs w:val="36"/>
          <w:lang w:val="en-US"/>
        </w:rPr>
        <w:t>Damages for breach of contract</w:t>
      </w:r>
    </w:p>
    <w:tbl>
      <w:tblPr>
        <w:tblpPr w:leftFromText="180" w:rightFromText="180" w:horzAnchor="page" w:tblpX="910"/>
        <w:tblW w:w="10620" w:type="dxa"/>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6420"/>
        <w:gridCol w:w="4200"/>
      </w:tblGrid>
      <w:tr w:rsidR="00385874" w14:paraId="5D2AF8CA" w14:textId="77777777" w:rsidTr="00385874">
        <w:tblPrEx>
          <w:tblCellMar>
            <w:top w:w="0" w:type="dxa"/>
            <w:bottom w:w="0" w:type="dxa"/>
          </w:tblCellMar>
        </w:tblPrEx>
        <w:tc>
          <w:tcPr>
            <w:tcW w:w="6420" w:type="dxa"/>
            <w:tcBorders>
              <w:top w:val="single" w:sz="8" w:space="0" w:color="000000"/>
              <w:bottom w:val="single" w:sz="8" w:space="0" w:color="000000"/>
              <w:right w:val="single" w:sz="8" w:space="0" w:color="000000"/>
            </w:tcBorders>
            <w:tcMar>
              <w:top w:w="100" w:type="nil"/>
              <w:left w:w="100" w:type="nil"/>
              <w:bottom w:w="100" w:type="nil"/>
              <w:right w:w="100" w:type="nil"/>
            </w:tcMar>
          </w:tcPr>
          <w:p w14:paraId="08507194" w14:textId="77777777" w:rsidR="00385874" w:rsidRDefault="00385874" w:rsidP="00385874">
            <w:pPr>
              <w:widowControl w:val="0"/>
              <w:autoSpaceDE w:val="0"/>
              <w:autoSpaceDN w:val="0"/>
              <w:adjustRightInd w:val="0"/>
              <w:rPr>
                <w:rFonts w:ascii="Arial" w:hAnsi="Arial" w:cs="Arial"/>
                <w:color w:val="191919"/>
                <w:sz w:val="28"/>
                <w:szCs w:val="28"/>
                <w:lang w:val="en-US"/>
              </w:rPr>
            </w:pPr>
            <w:r>
              <w:rPr>
                <w:rFonts w:ascii="Arial" w:hAnsi="Arial" w:cs="Arial"/>
                <w:b/>
                <w:bCs/>
                <w:color w:val="191919"/>
                <w:sz w:val="28"/>
                <w:szCs w:val="28"/>
                <w:lang w:val="en-US"/>
              </w:rPr>
              <w:t>English law</w:t>
            </w:r>
          </w:p>
        </w:tc>
        <w:tc>
          <w:tcPr>
            <w:tcW w:w="4200" w:type="dxa"/>
            <w:tcBorders>
              <w:top w:val="single" w:sz="8" w:space="0" w:color="000000"/>
              <w:left w:val="single" w:sz="8" w:space="0" w:color="000000"/>
              <w:bottom w:val="single" w:sz="8" w:space="0" w:color="000000"/>
            </w:tcBorders>
            <w:tcMar>
              <w:top w:w="100" w:type="nil"/>
              <w:left w:w="100" w:type="nil"/>
              <w:bottom w:w="100" w:type="nil"/>
              <w:right w:w="100" w:type="nil"/>
            </w:tcMar>
          </w:tcPr>
          <w:p w14:paraId="1121EA6C" w14:textId="77777777" w:rsidR="00385874" w:rsidRDefault="00385874" w:rsidP="00385874">
            <w:pPr>
              <w:widowControl w:val="0"/>
              <w:autoSpaceDE w:val="0"/>
              <w:autoSpaceDN w:val="0"/>
              <w:adjustRightInd w:val="0"/>
              <w:rPr>
                <w:rFonts w:ascii="Arial" w:hAnsi="Arial" w:cs="Arial"/>
                <w:color w:val="191919"/>
                <w:sz w:val="28"/>
                <w:szCs w:val="28"/>
                <w:lang w:val="en-US"/>
              </w:rPr>
            </w:pPr>
            <w:r>
              <w:rPr>
                <w:rFonts w:ascii="Arial" w:hAnsi="Arial" w:cs="Arial"/>
                <w:b/>
                <w:bCs/>
                <w:color w:val="191919"/>
                <w:sz w:val="28"/>
                <w:szCs w:val="28"/>
                <w:lang w:val="en-US"/>
              </w:rPr>
              <w:t>Russian law</w:t>
            </w:r>
          </w:p>
        </w:tc>
      </w:tr>
      <w:tr w:rsidR="00385874" w14:paraId="3A250922" w14:textId="77777777" w:rsidTr="00385874">
        <w:tblPrEx>
          <w:tblBorders>
            <w:top w:val="none" w:sz="0" w:space="0" w:color="auto"/>
            <w:bottom w:val="single" w:sz="8" w:space="0" w:color="000000"/>
          </w:tblBorders>
          <w:tblCellMar>
            <w:top w:w="0" w:type="dxa"/>
            <w:bottom w:w="0" w:type="dxa"/>
          </w:tblCellMar>
        </w:tblPrEx>
        <w:tc>
          <w:tcPr>
            <w:tcW w:w="6420" w:type="dxa"/>
            <w:tcBorders>
              <w:top w:val="single" w:sz="8" w:space="0" w:color="000000"/>
              <w:bottom w:val="single" w:sz="8" w:space="0" w:color="000000"/>
              <w:right w:val="single" w:sz="8" w:space="0" w:color="000000"/>
            </w:tcBorders>
            <w:tcMar>
              <w:top w:w="100" w:type="nil"/>
              <w:left w:w="100" w:type="nil"/>
              <w:bottom w:w="100" w:type="nil"/>
              <w:right w:w="100" w:type="nil"/>
            </w:tcMar>
          </w:tcPr>
          <w:p w14:paraId="54974921" w14:textId="77777777" w:rsidR="00385874" w:rsidRDefault="00385874" w:rsidP="00385874">
            <w:pPr>
              <w:widowControl w:val="0"/>
              <w:autoSpaceDE w:val="0"/>
              <w:autoSpaceDN w:val="0"/>
              <w:adjustRightInd w:val="0"/>
              <w:rPr>
                <w:rFonts w:ascii="Arial" w:hAnsi="Arial" w:cs="Arial"/>
                <w:color w:val="191919"/>
                <w:sz w:val="28"/>
                <w:szCs w:val="28"/>
                <w:lang w:val="en-US"/>
              </w:rPr>
            </w:pPr>
            <w:r>
              <w:rPr>
                <w:rFonts w:ascii="Arial" w:hAnsi="Arial" w:cs="Arial"/>
                <w:color w:val="191919"/>
                <w:sz w:val="28"/>
                <w:szCs w:val="28"/>
                <w:lang w:val="en-US"/>
              </w:rPr>
              <w:t>Damages in contract seek to put the injured party in the position they would have been in if the contract was satisfactorily performed. Not all losses flowing from a breach of contract are recoverable:</w:t>
            </w:r>
          </w:p>
          <w:p w14:paraId="4ADD5878" w14:textId="77777777" w:rsidR="00385874" w:rsidRDefault="00385874" w:rsidP="00385874">
            <w:pPr>
              <w:widowControl w:val="0"/>
              <w:numPr>
                <w:ilvl w:val="0"/>
                <w:numId w:val="2"/>
              </w:numPr>
              <w:tabs>
                <w:tab w:val="left" w:pos="220"/>
                <w:tab w:val="left" w:pos="720"/>
              </w:tabs>
              <w:autoSpaceDE w:val="0"/>
              <w:autoSpaceDN w:val="0"/>
              <w:adjustRightInd w:val="0"/>
              <w:ind w:hanging="720"/>
              <w:rPr>
                <w:rFonts w:ascii="Arial" w:hAnsi="Arial" w:cs="Arial"/>
                <w:color w:val="191919"/>
                <w:sz w:val="26"/>
                <w:szCs w:val="26"/>
                <w:lang w:val="en-US"/>
              </w:rPr>
            </w:pPr>
            <w:r>
              <w:rPr>
                <w:rFonts w:ascii="Arial" w:hAnsi="Arial" w:cs="Arial"/>
                <w:color w:val="191919"/>
                <w:sz w:val="26"/>
                <w:szCs w:val="26"/>
                <w:lang w:val="en-US"/>
              </w:rPr>
              <w:tab/>
            </w:r>
            <w:r>
              <w:rPr>
                <w:rFonts w:ascii="Arial" w:hAnsi="Arial" w:cs="Arial"/>
                <w:color w:val="191919"/>
                <w:sz w:val="26"/>
                <w:szCs w:val="26"/>
                <w:lang w:val="en-US"/>
              </w:rPr>
              <w:tab/>
              <w:t>The losses may be viewed as too remote to be recoverable.</w:t>
            </w:r>
          </w:p>
          <w:p w14:paraId="2897D97F" w14:textId="77777777" w:rsidR="00385874" w:rsidRDefault="00385874" w:rsidP="00385874">
            <w:pPr>
              <w:widowControl w:val="0"/>
              <w:numPr>
                <w:ilvl w:val="0"/>
                <w:numId w:val="2"/>
              </w:numPr>
              <w:tabs>
                <w:tab w:val="left" w:pos="220"/>
                <w:tab w:val="left" w:pos="720"/>
              </w:tabs>
              <w:autoSpaceDE w:val="0"/>
              <w:autoSpaceDN w:val="0"/>
              <w:adjustRightInd w:val="0"/>
              <w:ind w:hanging="720"/>
              <w:rPr>
                <w:rFonts w:ascii="Arial" w:hAnsi="Arial" w:cs="Arial"/>
                <w:color w:val="191919"/>
                <w:sz w:val="26"/>
                <w:szCs w:val="26"/>
                <w:lang w:val="en-US"/>
              </w:rPr>
            </w:pPr>
            <w:r>
              <w:rPr>
                <w:rFonts w:ascii="Arial" w:hAnsi="Arial" w:cs="Arial"/>
                <w:color w:val="191919"/>
                <w:sz w:val="26"/>
                <w:szCs w:val="26"/>
                <w:lang w:val="en-US"/>
              </w:rPr>
              <w:tab/>
            </w:r>
            <w:r>
              <w:rPr>
                <w:rFonts w:ascii="Arial" w:hAnsi="Arial" w:cs="Arial"/>
                <w:color w:val="191919"/>
                <w:sz w:val="26"/>
                <w:szCs w:val="26"/>
                <w:lang w:val="en-US"/>
              </w:rPr>
              <w:tab/>
              <w:t>There may not be a sufficiently strong causal connection between the breach and the loss.</w:t>
            </w:r>
          </w:p>
          <w:p w14:paraId="647FB82C" w14:textId="77777777" w:rsidR="00385874" w:rsidRDefault="00385874" w:rsidP="00385874">
            <w:pPr>
              <w:widowControl w:val="0"/>
              <w:numPr>
                <w:ilvl w:val="0"/>
                <w:numId w:val="2"/>
              </w:numPr>
              <w:tabs>
                <w:tab w:val="left" w:pos="220"/>
                <w:tab w:val="left" w:pos="720"/>
              </w:tabs>
              <w:autoSpaceDE w:val="0"/>
              <w:autoSpaceDN w:val="0"/>
              <w:adjustRightInd w:val="0"/>
              <w:ind w:hanging="720"/>
              <w:rPr>
                <w:rFonts w:ascii="Arial" w:hAnsi="Arial" w:cs="Arial"/>
                <w:color w:val="191919"/>
                <w:sz w:val="26"/>
                <w:szCs w:val="26"/>
                <w:lang w:val="en-US"/>
              </w:rPr>
            </w:pPr>
            <w:r>
              <w:rPr>
                <w:rFonts w:ascii="Arial" w:hAnsi="Arial" w:cs="Arial"/>
                <w:color w:val="191919"/>
                <w:sz w:val="26"/>
                <w:szCs w:val="26"/>
                <w:lang w:val="en-US"/>
              </w:rPr>
              <w:tab/>
            </w:r>
            <w:r>
              <w:rPr>
                <w:rFonts w:ascii="Arial" w:hAnsi="Arial" w:cs="Arial"/>
                <w:color w:val="191919"/>
                <w:sz w:val="26"/>
                <w:szCs w:val="26"/>
                <w:lang w:val="en-US"/>
              </w:rPr>
              <w:tab/>
              <w:t>The claimant may have failed to mitigate their loss.</w:t>
            </w:r>
          </w:p>
          <w:p w14:paraId="12C9646D" w14:textId="77777777" w:rsidR="00385874" w:rsidRDefault="00385874" w:rsidP="00385874">
            <w:pPr>
              <w:widowControl w:val="0"/>
              <w:numPr>
                <w:ilvl w:val="0"/>
                <w:numId w:val="2"/>
              </w:numPr>
              <w:tabs>
                <w:tab w:val="left" w:pos="220"/>
                <w:tab w:val="left" w:pos="720"/>
              </w:tabs>
              <w:autoSpaceDE w:val="0"/>
              <w:autoSpaceDN w:val="0"/>
              <w:adjustRightInd w:val="0"/>
              <w:ind w:hanging="720"/>
              <w:rPr>
                <w:rFonts w:ascii="Arial" w:hAnsi="Arial" w:cs="Arial"/>
                <w:color w:val="191919"/>
                <w:sz w:val="26"/>
                <w:szCs w:val="26"/>
                <w:lang w:val="en-US"/>
              </w:rPr>
            </w:pPr>
            <w:r>
              <w:rPr>
                <w:rFonts w:ascii="Arial" w:hAnsi="Arial" w:cs="Arial"/>
                <w:color w:val="191919"/>
                <w:sz w:val="26"/>
                <w:szCs w:val="26"/>
                <w:lang w:val="en-US"/>
              </w:rPr>
              <w:tab/>
            </w:r>
            <w:r>
              <w:rPr>
                <w:rFonts w:ascii="Arial" w:hAnsi="Arial" w:cs="Arial"/>
                <w:color w:val="191919"/>
                <w:sz w:val="26"/>
                <w:szCs w:val="26"/>
                <w:lang w:val="en-US"/>
              </w:rPr>
              <w:tab/>
              <w:t xml:space="preserve">The </w:t>
            </w:r>
            <w:proofErr w:type="gramStart"/>
            <w:r>
              <w:rPr>
                <w:rFonts w:ascii="Arial" w:hAnsi="Arial" w:cs="Arial"/>
                <w:color w:val="191919"/>
                <w:sz w:val="26"/>
                <w:szCs w:val="26"/>
                <w:lang w:val="en-US"/>
              </w:rPr>
              <w:t>claimant may have suffered loss partly as a result of their</w:t>
            </w:r>
            <w:proofErr w:type="gramEnd"/>
            <w:r>
              <w:rPr>
                <w:rFonts w:ascii="Arial" w:hAnsi="Arial" w:cs="Arial"/>
                <w:color w:val="191919"/>
                <w:sz w:val="26"/>
                <w:szCs w:val="26"/>
                <w:lang w:val="en-US"/>
              </w:rPr>
              <w:t xml:space="preserve"> own fault.</w:t>
            </w:r>
          </w:p>
          <w:p w14:paraId="531E676A" w14:textId="77777777" w:rsidR="00385874" w:rsidRDefault="00385874" w:rsidP="00385874">
            <w:pPr>
              <w:widowControl w:val="0"/>
              <w:autoSpaceDE w:val="0"/>
              <w:autoSpaceDN w:val="0"/>
              <w:adjustRightInd w:val="0"/>
              <w:rPr>
                <w:rFonts w:ascii="Arial" w:hAnsi="Arial" w:cs="Arial"/>
                <w:color w:val="191919"/>
                <w:sz w:val="28"/>
                <w:szCs w:val="28"/>
                <w:lang w:val="en-US"/>
              </w:rPr>
            </w:pPr>
            <w:r>
              <w:rPr>
                <w:rFonts w:ascii="Arial" w:hAnsi="Arial" w:cs="Arial"/>
                <w:color w:val="191919"/>
                <w:sz w:val="28"/>
                <w:szCs w:val="28"/>
                <w:lang w:val="en-US"/>
              </w:rPr>
              <w:t xml:space="preserve">For further information see </w:t>
            </w:r>
            <w:hyperlink r:id="rId6" w:history="1">
              <w:r>
                <w:rPr>
                  <w:rFonts w:ascii="Arial" w:hAnsi="Arial" w:cs="Arial"/>
                  <w:i/>
                  <w:iCs/>
                  <w:color w:val="094771"/>
                  <w:sz w:val="28"/>
                  <w:szCs w:val="28"/>
                  <w:lang w:val="en-US"/>
                </w:rPr>
                <w:t>Practice note, Remedies: damages and agreed remedies</w:t>
              </w:r>
            </w:hyperlink>
            <w:r>
              <w:rPr>
                <w:rFonts w:ascii="Arial" w:hAnsi="Arial" w:cs="Arial"/>
                <w:color w:val="191919"/>
                <w:sz w:val="28"/>
                <w:szCs w:val="28"/>
                <w:lang w:val="en-US"/>
              </w:rPr>
              <w:t>.</w:t>
            </w:r>
          </w:p>
        </w:tc>
        <w:tc>
          <w:tcPr>
            <w:tcW w:w="4200" w:type="dxa"/>
            <w:tcBorders>
              <w:top w:val="single" w:sz="8" w:space="0" w:color="000000"/>
              <w:left w:val="single" w:sz="8" w:space="0" w:color="000000"/>
              <w:bottom w:val="single" w:sz="8" w:space="0" w:color="000000"/>
            </w:tcBorders>
            <w:tcMar>
              <w:top w:w="100" w:type="nil"/>
              <w:left w:w="100" w:type="nil"/>
              <w:bottom w:w="100" w:type="nil"/>
              <w:right w:w="100" w:type="nil"/>
            </w:tcMar>
          </w:tcPr>
          <w:p w14:paraId="507221BA" w14:textId="77777777" w:rsidR="00385874" w:rsidRDefault="00385874" w:rsidP="00385874">
            <w:pPr>
              <w:widowControl w:val="0"/>
              <w:autoSpaceDE w:val="0"/>
              <w:autoSpaceDN w:val="0"/>
              <w:adjustRightInd w:val="0"/>
              <w:rPr>
                <w:rFonts w:ascii="Arial" w:hAnsi="Arial" w:cs="Arial"/>
                <w:color w:val="191919"/>
                <w:sz w:val="28"/>
                <w:szCs w:val="28"/>
                <w:lang w:val="en-US"/>
              </w:rPr>
            </w:pPr>
            <w:r>
              <w:rPr>
                <w:rFonts w:ascii="Arial" w:hAnsi="Arial" w:cs="Arial"/>
                <w:color w:val="191919"/>
                <w:sz w:val="28"/>
                <w:szCs w:val="28"/>
                <w:lang w:val="en-US"/>
              </w:rPr>
              <w:t>Generally, the buyer has two main rights in the event of a breach by the seller of the implied warranties:</w:t>
            </w:r>
          </w:p>
          <w:p w14:paraId="4584BCB4" w14:textId="77777777" w:rsidR="00385874" w:rsidRDefault="00385874" w:rsidP="00385874">
            <w:pPr>
              <w:widowControl w:val="0"/>
              <w:numPr>
                <w:ilvl w:val="0"/>
                <w:numId w:val="3"/>
              </w:numPr>
              <w:tabs>
                <w:tab w:val="left" w:pos="220"/>
                <w:tab w:val="left" w:pos="720"/>
              </w:tabs>
              <w:autoSpaceDE w:val="0"/>
              <w:autoSpaceDN w:val="0"/>
              <w:adjustRightInd w:val="0"/>
              <w:ind w:hanging="720"/>
              <w:rPr>
                <w:rFonts w:ascii="Arial" w:hAnsi="Arial" w:cs="Arial"/>
                <w:color w:val="191919"/>
                <w:sz w:val="26"/>
                <w:szCs w:val="26"/>
                <w:lang w:val="en-US"/>
              </w:rPr>
            </w:pPr>
            <w:r>
              <w:rPr>
                <w:rFonts w:ascii="Arial" w:hAnsi="Arial" w:cs="Arial"/>
                <w:color w:val="191919"/>
                <w:sz w:val="26"/>
                <w:szCs w:val="26"/>
                <w:lang w:val="en-US"/>
              </w:rPr>
              <w:tab/>
            </w:r>
            <w:r>
              <w:rPr>
                <w:rFonts w:ascii="Arial" w:hAnsi="Arial" w:cs="Arial"/>
                <w:color w:val="191919"/>
                <w:sz w:val="26"/>
                <w:szCs w:val="26"/>
                <w:lang w:val="en-US"/>
              </w:rPr>
              <w:tab/>
              <w:t>It must return the asset in exchange for its money back and potentially claim for compensation for its deal costs and expenses.</w:t>
            </w:r>
          </w:p>
          <w:p w14:paraId="104820F5" w14:textId="77777777" w:rsidR="00385874" w:rsidRDefault="00385874" w:rsidP="00385874">
            <w:pPr>
              <w:widowControl w:val="0"/>
              <w:numPr>
                <w:ilvl w:val="0"/>
                <w:numId w:val="3"/>
              </w:numPr>
              <w:tabs>
                <w:tab w:val="left" w:pos="220"/>
                <w:tab w:val="left" w:pos="720"/>
              </w:tabs>
              <w:autoSpaceDE w:val="0"/>
              <w:autoSpaceDN w:val="0"/>
              <w:adjustRightInd w:val="0"/>
              <w:ind w:hanging="720"/>
              <w:rPr>
                <w:rFonts w:ascii="Arial" w:hAnsi="Arial" w:cs="Arial"/>
                <w:color w:val="191919"/>
                <w:sz w:val="26"/>
                <w:szCs w:val="26"/>
                <w:lang w:val="en-US"/>
              </w:rPr>
            </w:pPr>
            <w:r>
              <w:rPr>
                <w:rFonts w:ascii="Arial" w:hAnsi="Arial" w:cs="Arial"/>
                <w:color w:val="191919"/>
                <w:sz w:val="26"/>
                <w:szCs w:val="26"/>
                <w:lang w:val="en-US"/>
              </w:rPr>
              <w:tab/>
            </w:r>
            <w:r>
              <w:rPr>
                <w:rFonts w:ascii="Arial" w:hAnsi="Arial" w:cs="Arial"/>
                <w:color w:val="191919"/>
                <w:sz w:val="26"/>
                <w:szCs w:val="26"/>
                <w:lang w:val="en-US"/>
              </w:rPr>
              <w:tab/>
              <w:t>It can demand a price reduction and rebate part of its purchase monies, to reflect the actual state of the asset it acquired.</w:t>
            </w:r>
          </w:p>
        </w:tc>
      </w:tr>
    </w:tbl>
    <w:p w14:paraId="39DC24AF" w14:textId="77777777" w:rsidR="007A49B1" w:rsidRDefault="007A49B1" w:rsidP="007A49B1">
      <w:pPr>
        <w:widowControl w:val="0"/>
        <w:autoSpaceDE w:val="0"/>
        <w:autoSpaceDN w:val="0"/>
        <w:adjustRightInd w:val="0"/>
        <w:rPr>
          <w:rFonts w:ascii="Arial" w:hAnsi="Arial" w:cs="Arial"/>
          <w:color w:val="191919"/>
          <w:sz w:val="28"/>
          <w:szCs w:val="28"/>
          <w:lang w:val="en-US"/>
        </w:rPr>
      </w:pPr>
    </w:p>
    <w:p w14:paraId="4D78246A" w14:textId="77777777" w:rsidR="007A49B1" w:rsidRDefault="007A49B1" w:rsidP="007A49B1">
      <w:pPr>
        <w:widowControl w:val="0"/>
        <w:autoSpaceDE w:val="0"/>
        <w:autoSpaceDN w:val="0"/>
        <w:adjustRightInd w:val="0"/>
        <w:rPr>
          <w:rFonts w:ascii="Arial" w:hAnsi="Arial" w:cs="Arial"/>
          <w:color w:val="191919"/>
          <w:sz w:val="28"/>
          <w:szCs w:val="28"/>
          <w:lang w:val="en-US"/>
        </w:rPr>
      </w:pPr>
    </w:p>
    <w:p w14:paraId="1519E45B" w14:textId="77777777" w:rsidR="007A49B1" w:rsidRDefault="007A49B1" w:rsidP="007A49B1">
      <w:pPr>
        <w:widowControl w:val="0"/>
        <w:autoSpaceDE w:val="0"/>
        <w:autoSpaceDN w:val="0"/>
        <w:adjustRightInd w:val="0"/>
        <w:rPr>
          <w:rFonts w:ascii="Arial" w:hAnsi="Arial" w:cs="Arial"/>
          <w:b/>
          <w:bCs/>
          <w:sz w:val="36"/>
          <w:szCs w:val="36"/>
          <w:lang w:val="en-US"/>
        </w:rPr>
      </w:pPr>
      <w:r>
        <w:rPr>
          <w:rFonts w:ascii="Arial" w:hAnsi="Arial" w:cs="Arial"/>
          <w:b/>
          <w:bCs/>
          <w:sz w:val="36"/>
          <w:szCs w:val="36"/>
          <w:lang w:val="en-US"/>
        </w:rPr>
        <w:t>Consequential loss</w:t>
      </w:r>
    </w:p>
    <w:tbl>
      <w:tblPr>
        <w:tblpPr w:leftFromText="180" w:rightFromText="180" w:horzAnchor="page" w:tblpX="910"/>
        <w:tblW w:w="10620" w:type="dxa"/>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6420"/>
        <w:gridCol w:w="4200"/>
      </w:tblGrid>
      <w:tr w:rsidR="00385874" w14:paraId="40667B7A" w14:textId="77777777" w:rsidTr="00385874">
        <w:tblPrEx>
          <w:tblCellMar>
            <w:top w:w="0" w:type="dxa"/>
            <w:bottom w:w="0" w:type="dxa"/>
          </w:tblCellMar>
        </w:tblPrEx>
        <w:tc>
          <w:tcPr>
            <w:tcW w:w="6420" w:type="dxa"/>
            <w:tcBorders>
              <w:top w:val="single" w:sz="8" w:space="0" w:color="000000"/>
              <w:bottom w:val="single" w:sz="8" w:space="0" w:color="000000"/>
              <w:right w:val="single" w:sz="8" w:space="0" w:color="000000"/>
            </w:tcBorders>
            <w:tcMar>
              <w:top w:w="100" w:type="nil"/>
              <w:left w:w="100" w:type="nil"/>
              <w:bottom w:w="100" w:type="nil"/>
              <w:right w:w="100" w:type="nil"/>
            </w:tcMar>
          </w:tcPr>
          <w:p w14:paraId="1D5A357A" w14:textId="77777777" w:rsidR="00385874" w:rsidRDefault="00385874" w:rsidP="00385874">
            <w:pPr>
              <w:widowControl w:val="0"/>
              <w:autoSpaceDE w:val="0"/>
              <w:autoSpaceDN w:val="0"/>
              <w:adjustRightInd w:val="0"/>
              <w:rPr>
                <w:rFonts w:ascii="Arial" w:hAnsi="Arial" w:cs="Arial"/>
                <w:color w:val="191919"/>
                <w:sz w:val="28"/>
                <w:szCs w:val="28"/>
                <w:lang w:val="en-US"/>
              </w:rPr>
            </w:pPr>
            <w:r>
              <w:rPr>
                <w:rFonts w:ascii="Arial" w:hAnsi="Arial" w:cs="Arial"/>
                <w:b/>
                <w:bCs/>
                <w:color w:val="191919"/>
                <w:sz w:val="28"/>
                <w:szCs w:val="28"/>
                <w:lang w:val="en-US"/>
              </w:rPr>
              <w:t>English law</w:t>
            </w:r>
          </w:p>
        </w:tc>
        <w:tc>
          <w:tcPr>
            <w:tcW w:w="4200" w:type="dxa"/>
            <w:tcBorders>
              <w:top w:val="single" w:sz="8" w:space="0" w:color="000000"/>
              <w:left w:val="single" w:sz="8" w:space="0" w:color="000000"/>
              <w:bottom w:val="single" w:sz="8" w:space="0" w:color="000000"/>
            </w:tcBorders>
            <w:tcMar>
              <w:top w:w="100" w:type="nil"/>
              <w:left w:w="100" w:type="nil"/>
              <w:bottom w:w="100" w:type="nil"/>
              <w:right w:w="100" w:type="nil"/>
            </w:tcMar>
          </w:tcPr>
          <w:p w14:paraId="28C24890" w14:textId="77777777" w:rsidR="00385874" w:rsidRDefault="00385874" w:rsidP="00385874">
            <w:pPr>
              <w:widowControl w:val="0"/>
              <w:autoSpaceDE w:val="0"/>
              <w:autoSpaceDN w:val="0"/>
              <w:adjustRightInd w:val="0"/>
              <w:rPr>
                <w:rFonts w:ascii="Arial" w:hAnsi="Arial" w:cs="Arial"/>
                <w:color w:val="191919"/>
                <w:sz w:val="28"/>
                <w:szCs w:val="28"/>
                <w:lang w:val="en-US"/>
              </w:rPr>
            </w:pPr>
            <w:r>
              <w:rPr>
                <w:rFonts w:ascii="Arial" w:hAnsi="Arial" w:cs="Arial"/>
                <w:b/>
                <w:bCs/>
                <w:color w:val="191919"/>
                <w:sz w:val="28"/>
                <w:szCs w:val="28"/>
                <w:lang w:val="en-US"/>
              </w:rPr>
              <w:t>Russian law</w:t>
            </w:r>
          </w:p>
        </w:tc>
      </w:tr>
      <w:tr w:rsidR="00385874" w14:paraId="19E6906B" w14:textId="77777777" w:rsidTr="00385874">
        <w:tblPrEx>
          <w:tblBorders>
            <w:top w:val="none" w:sz="0" w:space="0" w:color="auto"/>
            <w:bottom w:val="single" w:sz="8" w:space="0" w:color="000000"/>
          </w:tblBorders>
          <w:tblCellMar>
            <w:top w:w="0" w:type="dxa"/>
            <w:bottom w:w="0" w:type="dxa"/>
          </w:tblCellMar>
        </w:tblPrEx>
        <w:tc>
          <w:tcPr>
            <w:tcW w:w="6420" w:type="dxa"/>
            <w:tcBorders>
              <w:top w:val="single" w:sz="8" w:space="0" w:color="000000"/>
              <w:bottom w:val="single" w:sz="8" w:space="0" w:color="000000"/>
              <w:right w:val="single" w:sz="8" w:space="0" w:color="000000"/>
            </w:tcBorders>
            <w:tcMar>
              <w:top w:w="100" w:type="nil"/>
              <w:left w:w="100" w:type="nil"/>
              <w:bottom w:w="100" w:type="nil"/>
              <w:right w:w="100" w:type="nil"/>
            </w:tcMar>
          </w:tcPr>
          <w:p w14:paraId="369BD5E1" w14:textId="77777777" w:rsidR="00385874" w:rsidRDefault="00385874" w:rsidP="00385874">
            <w:pPr>
              <w:widowControl w:val="0"/>
              <w:autoSpaceDE w:val="0"/>
              <w:autoSpaceDN w:val="0"/>
              <w:adjustRightInd w:val="0"/>
              <w:rPr>
                <w:rFonts w:ascii="Arial" w:hAnsi="Arial" w:cs="Arial"/>
                <w:color w:val="191919"/>
                <w:sz w:val="28"/>
                <w:szCs w:val="28"/>
                <w:lang w:val="en-US"/>
              </w:rPr>
            </w:pPr>
            <w:r>
              <w:rPr>
                <w:rFonts w:ascii="Arial" w:hAnsi="Arial" w:cs="Arial"/>
                <w:color w:val="191919"/>
                <w:sz w:val="28"/>
                <w:szCs w:val="28"/>
                <w:lang w:val="en-US"/>
              </w:rPr>
              <w:t>A party can claim for:</w:t>
            </w:r>
          </w:p>
          <w:p w14:paraId="1368FB6C" w14:textId="77777777" w:rsidR="00385874" w:rsidRDefault="00385874" w:rsidP="00385874">
            <w:pPr>
              <w:widowControl w:val="0"/>
              <w:numPr>
                <w:ilvl w:val="0"/>
                <w:numId w:val="4"/>
              </w:numPr>
              <w:tabs>
                <w:tab w:val="left" w:pos="220"/>
                <w:tab w:val="left" w:pos="720"/>
              </w:tabs>
              <w:autoSpaceDE w:val="0"/>
              <w:autoSpaceDN w:val="0"/>
              <w:adjustRightInd w:val="0"/>
              <w:ind w:hanging="720"/>
              <w:rPr>
                <w:rFonts w:ascii="Arial" w:hAnsi="Arial" w:cs="Arial"/>
                <w:color w:val="191919"/>
                <w:sz w:val="26"/>
                <w:szCs w:val="26"/>
                <w:lang w:val="en-US"/>
              </w:rPr>
            </w:pPr>
            <w:r>
              <w:rPr>
                <w:rFonts w:ascii="Arial" w:hAnsi="Arial" w:cs="Arial"/>
                <w:color w:val="191919"/>
                <w:sz w:val="28"/>
                <w:szCs w:val="28"/>
                <w:lang w:val="en-US"/>
              </w:rPr>
              <w:tab/>
            </w:r>
            <w:r>
              <w:rPr>
                <w:rFonts w:ascii="Arial" w:hAnsi="Arial" w:cs="Arial"/>
                <w:color w:val="191919"/>
                <w:sz w:val="28"/>
                <w:szCs w:val="28"/>
                <w:lang w:val="en-US"/>
              </w:rPr>
              <w:tab/>
              <w:t>Direct loss, which flows directly from the breach.</w:t>
            </w:r>
          </w:p>
          <w:p w14:paraId="3D821A2D" w14:textId="77777777" w:rsidR="00385874" w:rsidRDefault="00385874" w:rsidP="00385874">
            <w:pPr>
              <w:widowControl w:val="0"/>
              <w:numPr>
                <w:ilvl w:val="0"/>
                <w:numId w:val="4"/>
              </w:numPr>
              <w:tabs>
                <w:tab w:val="left" w:pos="220"/>
                <w:tab w:val="left" w:pos="720"/>
              </w:tabs>
              <w:autoSpaceDE w:val="0"/>
              <w:autoSpaceDN w:val="0"/>
              <w:adjustRightInd w:val="0"/>
              <w:ind w:hanging="720"/>
              <w:rPr>
                <w:rFonts w:ascii="Arial" w:hAnsi="Arial" w:cs="Arial"/>
                <w:color w:val="191919"/>
                <w:sz w:val="26"/>
                <w:szCs w:val="26"/>
                <w:lang w:val="en-US"/>
              </w:rPr>
            </w:pPr>
            <w:r>
              <w:rPr>
                <w:rFonts w:ascii="Arial" w:hAnsi="Arial" w:cs="Arial"/>
                <w:color w:val="191919"/>
                <w:sz w:val="28"/>
                <w:szCs w:val="28"/>
                <w:lang w:val="en-US"/>
              </w:rPr>
              <w:tab/>
            </w:r>
            <w:r>
              <w:rPr>
                <w:rFonts w:ascii="Arial" w:hAnsi="Arial" w:cs="Arial"/>
                <w:color w:val="191919"/>
                <w:sz w:val="28"/>
                <w:szCs w:val="28"/>
                <w:lang w:val="en-US"/>
              </w:rPr>
              <w:tab/>
              <w:t xml:space="preserve">Consequential loss, which does not flow directly from the breach, but arises in special </w:t>
            </w:r>
            <w:proofErr w:type="gramStart"/>
            <w:r>
              <w:rPr>
                <w:rFonts w:ascii="Arial" w:hAnsi="Arial" w:cs="Arial"/>
                <w:color w:val="191919"/>
                <w:sz w:val="28"/>
                <w:szCs w:val="28"/>
                <w:lang w:val="en-US"/>
              </w:rPr>
              <w:t>circumstances which</w:t>
            </w:r>
            <w:proofErr w:type="gramEnd"/>
            <w:r>
              <w:rPr>
                <w:rFonts w:ascii="Arial" w:hAnsi="Arial" w:cs="Arial"/>
                <w:color w:val="191919"/>
                <w:sz w:val="28"/>
                <w:szCs w:val="28"/>
                <w:lang w:val="en-US"/>
              </w:rPr>
              <w:t xml:space="preserve"> are known or foreseeable at the time of entering into the contract.</w:t>
            </w:r>
          </w:p>
        </w:tc>
        <w:tc>
          <w:tcPr>
            <w:tcW w:w="4200" w:type="dxa"/>
            <w:tcBorders>
              <w:top w:val="single" w:sz="8" w:space="0" w:color="000000"/>
              <w:left w:val="single" w:sz="8" w:space="0" w:color="000000"/>
              <w:bottom w:val="single" w:sz="8" w:space="0" w:color="000000"/>
            </w:tcBorders>
            <w:tcMar>
              <w:top w:w="100" w:type="nil"/>
              <w:left w:w="100" w:type="nil"/>
              <w:bottom w:w="100" w:type="nil"/>
              <w:right w:w="100" w:type="nil"/>
            </w:tcMar>
          </w:tcPr>
          <w:p w14:paraId="4333162D" w14:textId="77777777" w:rsidR="00385874" w:rsidRDefault="00385874" w:rsidP="00385874">
            <w:pPr>
              <w:widowControl w:val="0"/>
              <w:autoSpaceDE w:val="0"/>
              <w:autoSpaceDN w:val="0"/>
              <w:adjustRightInd w:val="0"/>
              <w:rPr>
                <w:rFonts w:ascii="Arial" w:hAnsi="Arial" w:cs="Arial"/>
                <w:color w:val="191919"/>
                <w:sz w:val="28"/>
                <w:szCs w:val="28"/>
                <w:lang w:val="en-US"/>
              </w:rPr>
            </w:pPr>
            <w:r>
              <w:rPr>
                <w:rFonts w:ascii="Arial" w:hAnsi="Arial" w:cs="Arial"/>
                <w:color w:val="191919"/>
                <w:sz w:val="28"/>
                <w:szCs w:val="28"/>
                <w:lang w:val="en-US"/>
              </w:rPr>
              <w:t>Damages to recover consequential loss can be claimed, but are difficult to prove in court. The courts are reluctant to compensate for large amounts of damages, especially those related to consequential loss.</w:t>
            </w:r>
          </w:p>
        </w:tc>
      </w:tr>
    </w:tbl>
    <w:p w14:paraId="3D3F2B11" w14:textId="77777777" w:rsidR="007A49B1" w:rsidRDefault="007A49B1" w:rsidP="007A49B1">
      <w:pPr>
        <w:widowControl w:val="0"/>
        <w:autoSpaceDE w:val="0"/>
        <w:autoSpaceDN w:val="0"/>
        <w:adjustRightInd w:val="0"/>
        <w:rPr>
          <w:rFonts w:ascii="Arial" w:hAnsi="Arial" w:cs="Arial"/>
          <w:color w:val="191919"/>
          <w:sz w:val="28"/>
          <w:szCs w:val="28"/>
          <w:lang w:val="en-US"/>
        </w:rPr>
      </w:pPr>
    </w:p>
    <w:p w14:paraId="3B640EFB" w14:textId="77777777" w:rsidR="007A49B1" w:rsidRDefault="007A49B1" w:rsidP="007A49B1">
      <w:pPr>
        <w:widowControl w:val="0"/>
        <w:autoSpaceDE w:val="0"/>
        <w:autoSpaceDN w:val="0"/>
        <w:adjustRightInd w:val="0"/>
        <w:rPr>
          <w:rFonts w:ascii="Arial" w:hAnsi="Arial" w:cs="Arial"/>
          <w:color w:val="191919"/>
          <w:sz w:val="28"/>
          <w:szCs w:val="28"/>
          <w:lang w:val="en-US"/>
        </w:rPr>
      </w:pPr>
    </w:p>
    <w:p w14:paraId="089F8AEE" w14:textId="77777777" w:rsidR="007A49B1" w:rsidRDefault="007A49B1" w:rsidP="007A49B1">
      <w:pPr>
        <w:widowControl w:val="0"/>
        <w:autoSpaceDE w:val="0"/>
        <w:autoSpaceDN w:val="0"/>
        <w:adjustRightInd w:val="0"/>
        <w:rPr>
          <w:rFonts w:ascii="Arial" w:hAnsi="Arial" w:cs="Arial"/>
          <w:b/>
          <w:bCs/>
          <w:sz w:val="36"/>
          <w:szCs w:val="36"/>
          <w:lang w:val="en-US"/>
        </w:rPr>
      </w:pPr>
      <w:r>
        <w:rPr>
          <w:rFonts w:ascii="Arial" w:hAnsi="Arial" w:cs="Arial"/>
          <w:b/>
          <w:bCs/>
          <w:sz w:val="36"/>
          <w:szCs w:val="36"/>
          <w:lang w:val="en-US"/>
        </w:rPr>
        <w:t>Loss of profit</w:t>
      </w:r>
    </w:p>
    <w:tbl>
      <w:tblPr>
        <w:tblpPr w:leftFromText="180" w:rightFromText="180" w:horzAnchor="page" w:tblpX="910"/>
        <w:tblW w:w="10620" w:type="dxa"/>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6420"/>
        <w:gridCol w:w="4200"/>
      </w:tblGrid>
      <w:tr w:rsidR="00385874" w14:paraId="4F10E71D" w14:textId="77777777" w:rsidTr="00385874">
        <w:tblPrEx>
          <w:tblCellMar>
            <w:top w:w="0" w:type="dxa"/>
            <w:bottom w:w="0" w:type="dxa"/>
          </w:tblCellMar>
        </w:tblPrEx>
        <w:tc>
          <w:tcPr>
            <w:tcW w:w="6420" w:type="dxa"/>
            <w:tcBorders>
              <w:top w:val="single" w:sz="8" w:space="0" w:color="000000"/>
              <w:bottom w:val="single" w:sz="8" w:space="0" w:color="000000"/>
              <w:right w:val="single" w:sz="8" w:space="0" w:color="000000"/>
            </w:tcBorders>
            <w:tcMar>
              <w:top w:w="100" w:type="nil"/>
              <w:left w:w="100" w:type="nil"/>
              <w:bottom w:w="100" w:type="nil"/>
              <w:right w:w="100" w:type="nil"/>
            </w:tcMar>
          </w:tcPr>
          <w:p w14:paraId="6BA17478" w14:textId="77777777" w:rsidR="00385874" w:rsidRDefault="00385874" w:rsidP="00385874">
            <w:pPr>
              <w:widowControl w:val="0"/>
              <w:autoSpaceDE w:val="0"/>
              <w:autoSpaceDN w:val="0"/>
              <w:adjustRightInd w:val="0"/>
              <w:rPr>
                <w:rFonts w:ascii="Arial" w:hAnsi="Arial" w:cs="Arial"/>
                <w:color w:val="191919"/>
                <w:sz w:val="28"/>
                <w:szCs w:val="28"/>
                <w:lang w:val="en-US"/>
              </w:rPr>
            </w:pPr>
            <w:r>
              <w:rPr>
                <w:rFonts w:ascii="Arial" w:hAnsi="Arial" w:cs="Arial"/>
                <w:b/>
                <w:bCs/>
                <w:color w:val="191919"/>
                <w:sz w:val="28"/>
                <w:szCs w:val="28"/>
                <w:lang w:val="en-US"/>
              </w:rPr>
              <w:t>English law</w:t>
            </w:r>
          </w:p>
        </w:tc>
        <w:tc>
          <w:tcPr>
            <w:tcW w:w="4200" w:type="dxa"/>
            <w:tcBorders>
              <w:top w:val="single" w:sz="8" w:space="0" w:color="000000"/>
              <w:left w:val="single" w:sz="8" w:space="0" w:color="000000"/>
              <w:bottom w:val="single" w:sz="8" w:space="0" w:color="000000"/>
            </w:tcBorders>
            <w:tcMar>
              <w:top w:w="100" w:type="nil"/>
              <w:left w:w="100" w:type="nil"/>
              <w:bottom w:w="100" w:type="nil"/>
              <w:right w:w="100" w:type="nil"/>
            </w:tcMar>
          </w:tcPr>
          <w:p w14:paraId="2BFE1FA6" w14:textId="77777777" w:rsidR="00385874" w:rsidRDefault="00385874" w:rsidP="00385874">
            <w:pPr>
              <w:widowControl w:val="0"/>
              <w:autoSpaceDE w:val="0"/>
              <w:autoSpaceDN w:val="0"/>
              <w:adjustRightInd w:val="0"/>
              <w:rPr>
                <w:rFonts w:ascii="Arial" w:hAnsi="Arial" w:cs="Arial"/>
                <w:color w:val="191919"/>
                <w:sz w:val="28"/>
                <w:szCs w:val="28"/>
                <w:lang w:val="en-US"/>
              </w:rPr>
            </w:pPr>
            <w:r>
              <w:rPr>
                <w:rFonts w:ascii="Arial" w:hAnsi="Arial" w:cs="Arial"/>
                <w:b/>
                <w:bCs/>
                <w:color w:val="191919"/>
                <w:sz w:val="28"/>
                <w:szCs w:val="28"/>
                <w:lang w:val="en-US"/>
              </w:rPr>
              <w:t>Russian law</w:t>
            </w:r>
          </w:p>
        </w:tc>
      </w:tr>
      <w:tr w:rsidR="00385874" w14:paraId="588E2373" w14:textId="77777777" w:rsidTr="00385874">
        <w:tblPrEx>
          <w:tblBorders>
            <w:top w:val="none" w:sz="0" w:space="0" w:color="auto"/>
            <w:bottom w:val="single" w:sz="8" w:space="0" w:color="000000"/>
          </w:tblBorders>
          <w:tblCellMar>
            <w:top w:w="0" w:type="dxa"/>
            <w:bottom w:w="0" w:type="dxa"/>
          </w:tblCellMar>
        </w:tblPrEx>
        <w:tc>
          <w:tcPr>
            <w:tcW w:w="6420" w:type="dxa"/>
            <w:tcBorders>
              <w:top w:val="single" w:sz="8" w:space="0" w:color="000000"/>
              <w:bottom w:val="single" w:sz="8" w:space="0" w:color="000000"/>
              <w:right w:val="single" w:sz="8" w:space="0" w:color="000000"/>
            </w:tcBorders>
            <w:tcMar>
              <w:top w:w="100" w:type="nil"/>
              <w:left w:w="100" w:type="nil"/>
              <w:bottom w:w="100" w:type="nil"/>
              <w:right w:w="100" w:type="nil"/>
            </w:tcMar>
          </w:tcPr>
          <w:p w14:paraId="567F2C22" w14:textId="77777777" w:rsidR="00385874" w:rsidRDefault="00385874" w:rsidP="00385874">
            <w:pPr>
              <w:widowControl w:val="0"/>
              <w:autoSpaceDE w:val="0"/>
              <w:autoSpaceDN w:val="0"/>
              <w:adjustRightInd w:val="0"/>
              <w:rPr>
                <w:rFonts w:ascii="Arial" w:hAnsi="Arial" w:cs="Arial"/>
                <w:color w:val="191919"/>
                <w:sz w:val="28"/>
                <w:szCs w:val="28"/>
                <w:lang w:val="en-US"/>
              </w:rPr>
            </w:pPr>
            <w:r>
              <w:rPr>
                <w:rFonts w:ascii="Arial" w:hAnsi="Arial" w:cs="Arial"/>
                <w:color w:val="191919"/>
                <w:sz w:val="28"/>
                <w:szCs w:val="28"/>
                <w:lang w:val="en-US"/>
              </w:rPr>
              <w:t xml:space="preserve">It is possible for a party to claim damages for loss of profit, sometimes even if this exceeds the </w:t>
            </w:r>
            <w:r>
              <w:rPr>
                <w:rFonts w:ascii="Arial" w:hAnsi="Arial" w:cs="Arial"/>
                <w:color w:val="191919"/>
                <w:sz w:val="28"/>
                <w:szCs w:val="28"/>
                <w:lang w:val="en-US"/>
              </w:rPr>
              <w:lastRenderedPageBreak/>
              <w:t>amount originally paid under the contract. This can be an important provision on an M&amp;A deal where the asset being acquired is:</w:t>
            </w:r>
          </w:p>
          <w:p w14:paraId="67CD0411" w14:textId="77777777" w:rsidR="00385874" w:rsidRDefault="00385874" w:rsidP="00385874">
            <w:pPr>
              <w:widowControl w:val="0"/>
              <w:numPr>
                <w:ilvl w:val="0"/>
                <w:numId w:val="5"/>
              </w:numPr>
              <w:tabs>
                <w:tab w:val="left" w:pos="220"/>
                <w:tab w:val="left" w:pos="720"/>
              </w:tabs>
              <w:autoSpaceDE w:val="0"/>
              <w:autoSpaceDN w:val="0"/>
              <w:adjustRightInd w:val="0"/>
              <w:ind w:hanging="720"/>
              <w:rPr>
                <w:rFonts w:ascii="Arial" w:hAnsi="Arial" w:cs="Arial"/>
                <w:color w:val="191919"/>
                <w:sz w:val="26"/>
                <w:szCs w:val="26"/>
                <w:lang w:val="en-US"/>
              </w:rPr>
            </w:pPr>
            <w:r>
              <w:rPr>
                <w:rFonts w:ascii="Arial" w:hAnsi="Arial" w:cs="Arial"/>
                <w:color w:val="191919"/>
                <w:sz w:val="26"/>
                <w:szCs w:val="26"/>
                <w:lang w:val="en-US"/>
              </w:rPr>
              <w:tab/>
            </w:r>
            <w:r>
              <w:rPr>
                <w:rFonts w:ascii="Arial" w:hAnsi="Arial" w:cs="Arial"/>
                <w:color w:val="191919"/>
                <w:sz w:val="26"/>
                <w:szCs w:val="26"/>
                <w:lang w:val="en-US"/>
              </w:rPr>
              <w:tab/>
              <w:t>Of a high strategic value.</w:t>
            </w:r>
          </w:p>
          <w:p w14:paraId="3F21F9B6" w14:textId="77777777" w:rsidR="00385874" w:rsidRDefault="00385874" w:rsidP="00385874">
            <w:pPr>
              <w:widowControl w:val="0"/>
              <w:numPr>
                <w:ilvl w:val="0"/>
                <w:numId w:val="5"/>
              </w:numPr>
              <w:tabs>
                <w:tab w:val="left" w:pos="220"/>
                <w:tab w:val="left" w:pos="720"/>
              </w:tabs>
              <w:autoSpaceDE w:val="0"/>
              <w:autoSpaceDN w:val="0"/>
              <w:adjustRightInd w:val="0"/>
              <w:ind w:hanging="720"/>
              <w:rPr>
                <w:rFonts w:ascii="Arial" w:hAnsi="Arial" w:cs="Arial"/>
                <w:color w:val="191919"/>
                <w:sz w:val="26"/>
                <w:szCs w:val="26"/>
                <w:lang w:val="en-US"/>
              </w:rPr>
            </w:pPr>
            <w:r>
              <w:rPr>
                <w:rFonts w:ascii="Arial" w:hAnsi="Arial" w:cs="Arial"/>
                <w:color w:val="191919"/>
                <w:sz w:val="26"/>
                <w:szCs w:val="26"/>
                <w:lang w:val="en-US"/>
              </w:rPr>
              <w:tab/>
            </w:r>
            <w:r>
              <w:rPr>
                <w:rFonts w:ascii="Arial" w:hAnsi="Arial" w:cs="Arial"/>
                <w:color w:val="191919"/>
                <w:sz w:val="26"/>
                <w:szCs w:val="26"/>
                <w:lang w:val="en-US"/>
              </w:rPr>
              <w:tab/>
              <w:t>A key part of a larger project.</w:t>
            </w:r>
          </w:p>
          <w:p w14:paraId="1575866C" w14:textId="77777777" w:rsidR="00385874" w:rsidRDefault="00385874" w:rsidP="00385874">
            <w:pPr>
              <w:widowControl w:val="0"/>
              <w:autoSpaceDE w:val="0"/>
              <w:autoSpaceDN w:val="0"/>
              <w:adjustRightInd w:val="0"/>
              <w:rPr>
                <w:rFonts w:ascii="Arial" w:hAnsi="Arial" w:cs="Arial"/>
                <w:color w:val="191919"/>
                <w:sz w:val="28"/>
                <w:szCs w:val="28"/>
                <w:lang w:val="en-US"/>
              </w:rPr>
            </w:pPr>
            <w:r>
              <w:rPr>
                <w:rFonts w:ascii="Arial" w:hAnsi="Arial" w:cs="Arial"/>
                <w:color w:val="191919"/>
                <w:sz w:val="28"/>
                <w:szCs w:val="28"/>
                <w:lang w:val="en-US"/>
              </w:rPr>
              <w:t>The parties can contractually agree to limit recoverable loss by excluding consequential loss or loss of profit.</w:t>
            </w:r>
          </w:p>
        </w:tc>
        <w:tc>
          <w:tcPr>
            <w:tcW w:w="4200" w:type="dxa"/>
            <w:tcBorders>
              <w:top w:val="single" w:sz="8" w:space="0" w:color="000000"/>
              <w:left w:val="single" w:sz="8" w:space="0" w:color="000000"/>
              <w:bottom w:val="single" w:sz="8" w:space="0" w:color="000000"/>
            </w:tcBorders>
            <w:tcMar>
              <w:top w:w="100" w:type="nil"/>
              <w:left w:w="100" w:type="nil"/>
              <w:bottom w:w="100" w:type="nil"/>
              <w:right w:w="100" w:type="nil"/>
            </w:tcMar>
          </w:tcPr>
          <w:p w14:paraId="58B2A5C4" w14:textId="77777777" w:rsidR="00385874" w:rsidRDefault="00385874" w:rsidP="00385874">
            <w:pPr>
              <w:widowControl w:val="0"/>
              <w:autoSpaceDE w:val="0"/>
              <w:autoSpaceDN w:val="0"/>
              <w:adjustRightInd w:val="0"/>
              <w:rPr>
                <w:rFonts w:ascii="Arial" w:hAnsi="Arial" w:cs="Arial"/>
                <w:color w:val="191919"/>
                <w:sz w:val="28"/>
                <w:szCs w:val="28"/>
                <w:lang w:val="en-US"/>
              </w:rPr>
            </w:pPr>
            <w:r>
              <w:rPr>
                <w:rFonts w:ascii="Arial" w:hAnsi="Arial" w:cs="Arial"/>
                <w:color w:val="191919"/>
                <w:sz w:val="28"/>
                <w:szCs w:val="28"/>
                <w:lang w:val="en-US"/>
              </w:rPr>
              <w:lastRenderedPageBreak/>
              <w:t xml:space="preserve">Damages to recover loss of profit can be claimed, but are </w:t>
            </w:r>
            <w:r>
              <w:rPr>
                <w:rFonts w:ascii="Arial" w:hAnsi="Arial" w:cs="Arial"/>
                <w:color w:val="191919"/>
                <w:sz w:val="28"/>
                <w:szCs w:val="28"/>
                <w:lang w:val="en-US"/>
              </w:rPr>
              <w:lastRenderedPageBreak/>
              <w:t>difficult to prove in court. The courts are reluctant to compensate for large amounts of damages, especially those related to loss of profits.</w:t>
            </w:r>
          </w:p>
        </w:tc>
      </w:tr>
    </w:tbl>
    <w:p w14:paraId="5FF2C50C" w14:textId="77777777" w:rsidR="007A49B1" w:rsidRDefault="007A49B1" w:rsidP="007A49B1">
      <w:pPr>
        <w:widowControl w:val="0"/>
        <w:autoSpaceDE w:val="0"/>
        <w:autoSpaceDN w:val="0"/>
        <w:adjustRightInd w:val="0"/>
        <w:rPr>
          <w:rFonts w:ascii="Arial" w:hAnsi="Arial" w:cs="Arial"/>
          <w:color w:val="191919"/>
          <w:sz w:val="28"/>
          <w:szCs w:val="28"/>
          <w:lang w:val="en-US"/>
        </w:rPr>
      </w:pPr>
    </w:p>
    <w:p w14:paraId="7F7E4821" w14:textId="77777777" w:rsidR="007A49B1" w:rsidRDefault="007A49B1" w:rsidP="007A49B1">
      <w:pPr>
        <w:widowControl w:val="0"/>
        <w:autoSpaceDE w:val="0"/>
        <w:autoSpaceDN w:val="0"/>
        <w:adjustRightInd w:val="0"/>
        <w:rPr>
          <w:rFonts w:ascii="Arial" w:hAnsi="Arial" w:cs="Arial"/>
          <w:color w:val="191919"/>
          <w:sz w:val="28"/>
          <w:szCs w:val="28"/>
          <w:lang w:val="en-US"/>
        </w:rPr>
      </w:pPr>
    </w:p>
    <w:p w14:paraId="2AA213F9" w14:textId="77777777" w:rsidR="007A49B1" w:rsidRDefault="007A49B1" w:rsidP="007A49B1">
      <w:pPr>
        <w:widowControl w:val="0"/>
        <w:autoSpaceDE w:val="0"/>
        <w:autoSpaceDN w:val="0"/>
        <w:adjustRightInd w:val="0"/>
        <w:rPr>
          <w:rFonts w:ascii="Arial" w:hAnsi="Arial" w:cs="Arial"/>
          <w:b/>
          <w:bCs/>
          <w:sz w:val="36"/>
          <w:szCs w:val="36"/>
          <w:lang w:val="en-US"/>
        </w:rPr>
      </w:pPr>
      <w:r>
        <w:rPr>
          <w:rFonts w:ascii="Arial" w:hAnsi="Arial" w:cs="Arial"/>
          <w:b/>
          <w:bCs/>
          <w:sz w:val="36"/>
          <w:szCs w:val="36"/>
          <w:lang w:val="en-US"/>
        </w:rPr>
        <w:t>Grossing up</w:t>
      </w:r>
    </w:p>
    <w:tbl>
      <w:tblPr>
        <w:tblpPr w:leftFromText="180" w:rightFromText="180" w:vertAnchor="text" w:horzAnchor="page" w:tblpX="910" w:tblpY="154"/>
        <w:tblW w:w="10620" w:type="dxa"/>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6420"/>
        <w:gridCol w:w="4200"/>
      </w:tblGrid>
      <w:tr w:rsidR="00385874" w14:paraId="207305BB" w14:textId="77777777" w:rsidTr="00385874">
        <w:tblPrEx>
          <w:tblCellMar>
            <w:top w:w="0" w:type="dxa"/>
            <w:bottom w:w="0" w:type="dxa"/>
          </w:tblCellMar>
        </w:tblPrEx>
        <w:tc>
          <w:tcPr>
            <w:tcW w:w="6420" w:type="dxa"/>
            <w:tcBorders>
              <w:top w:val="single" w:sz="8" w:space="0" w:color="000000"/>
              <w:bottom w:val="single" w:sz="8" w:space="0" w:color="000000"/>
              <w:right w:val="single" w:sz="8" w:space="0" w:color="000000"/>
            </w:tcBorders>
            <w:tcMar>
              <w:top w:w="100" w:type="nil"/>
              <w:left w:w="100" w:type="nil"/>
              <w:bottom w:w="100" w:type="nil"/>
              <w:right w:w="100" w:type="nil"/>
            </w:tcMar>
          </w:tcPr>
          <w:p w14:paraId="26E50635" w14:textId="77777777" w:rsidR="00385874" w:rsidRDefault="00385874" w:rsidP="00385874">
            <w:pPr>
              <w:widowControl w:val="0"/>
              <w:autoSpaceDE w:val="0"/>
              <w:autoSpaceDN w:val="0"/>
              <w:adjustRightInd w:val="0"/>
              <w:rPr>
                <w:rFonts w:ascii="Arial" w:hAnsi="Arial" w:cs="Arial"/>
                <w:color w:val="191919"/>
                <w:sz w:val="28"/>
                <w:szCs w:val="28"/>
                <w:lang w:val="en-US"/>
              </w:rPr>
            </w:pPr>
            <w:bookmarkStart w:id="0" w:name="_GoBack"/>
            <w:bookmarkEnd w:id="0"/>
            <w:r>
              <w:rPr>
                <w:rFonts w:ascii="Arial" w:hAnsi="Arial" w:cs="Arial"/>
                <w:b/>
                <w:bCs/>
                <w:color w:val="191919"/>
                <w:sz w:val="28"/>
                <w:szCs w:val="28"/>
                <w:lang w:val="en-US"/>
              </w:rPr>
              <w:t>English law</w:t>
            </w:r>
          </w:p>
        </w:tc>
        <w:tc>
          <w:tcPr>
            <w:tcW w:w="4200" w:type="dxa"/>
            <w:tcBorders>
              <w:top w:val="single" w:sz="8" w:space="0" w:color="000000"/>
              <w:left w:val="single" w:sz="8" w:space="0" w:color="000000"/>
              <w:bottom w:val="single" w:sz="8" w:space="0" w:color="000000"/>
            </w:tcBorders>
            <w:tcMar>
              <w:top w:w="100" w:type="nil"/>
              <w:left w:w="100" w:type="nil"/>
              <w:bottom w:w="100" w:type="nil"/>
              <w:right w:w="100" w:type="nil"/>
            </w:tcMar>
          </w:tcPr>
          <w:p w14:paraId="3B2BF56C" w14:textId="77777777" w:rsidR="00385874" w:rsidRDefault="00385874" w:rsidP="00385874">
            <w:pPr>
              <w:widowControl w:val="0"/>
              <w:autoSpaceDE w:val="0"/>
              <w:autoSpaceDN w:val="0"/>
              <w:adjustRightInd w:val="0"/>
              <w:rPr>
                <w:rFonts w:ascii="Arial" w:hAnsi="Arial" w:cs="Arial"/>
                <w:color w:val="191919"/>
                <w:sz w:val="28"/>
                <w:szCs w:val="28"/>
                <w:lang w:val="en-US"/>
              </w:rPr>
            </w:pPr>
            <w:r>
              <w:rPr>
                <w:rFonts w:ascii="Arial" w:hAnsi="Arial" w:cs="Arial"/>
                <w:b/>
                <w:bCs/>
                <w:color w:val="191919"/>
                <w:sz w:val="28"/>
                <w:szCs w:val="28"/>
                <w:lang w:val="en-US"/>
              </w:rPr>
              <w:t>Russian law</w:t>
            </w:r>
          </w:p>
        </w:tc>
      </w:tr>
      <w:tr w:rsidR="00385874" w14:paraId="4AAA1A49" w14:textId="77777777" w:rsidTr="00385874">
        <w:tblPrEx>
          <w:tblBorders>
            <w:top w:val="none" w:sz="0" w:space="0" w:color="auto"/>
            <w:bottom w:val="single" w:sz="8" w:space="0" w:color="000000"/>
          </w:tblBorders>
          <w:tblCellMar>
            <w:top w:w="0" w:type="dxa"/>
            <w:bottom w:w="0" w:type="dxa"/>
          </w:tblCellMar>
        </w:tblPrEx>
        <w:tc>
          <w:tcPr>
            <w:tcW w:w="6420" w:type="dxa"/>
            <w:tcBorders>
              <w:top w:val="single" w:sz="8" w:space="0" w:color="000000"/>
              <w:bottom w:val="single" w:sz="8" w:space="0" w:color="000000"/>
              <w:right w:val="single" w:sz="8" w:space="0" w:color="000000"/>
            </w:tcBorders>
            <w:tcMar>
              <w:top w:w="100" w:type="nil"/>
              <w:left w:w="100" w:type="nil"/>
              <w:bottom w:w="100" w:type="nil"/>
              <w:right w:w="100" w:type="nil"/>
            </w:tcMar>
          </w:tcPr>
          <w:p w14:paraId="77AF9412" w14:textId="77777777" w:rsidR="00385874" w:rsidRDefault="00385874" w:rsidP="00385874">
            <w:pPr>
              <w:widowControl w:val="0"/>
              <w:autoSpaceDE w:val="0"/>
              <w:autoSpaceDN w:val="0"/>
              <w:adjustRightInd w:val="0"/>
              <w:rPr>
                <w:rFonts w:ascii="Arial" w:hAnsi="Arial" w:cs="Arial"/>
                <w:color w:val="191919"/>
                <w:sz w:val="28"/>
                <w:szCs w:val="28"/>
                <w:lang w:val="en-US"/>
              </w:rPr>
            </w:pPr>
            <w:r>
              <w:rPr>
                <w:rFonts w:ascii="Arial" w:hAnsi="Arial" w:cs="Arial"/>
                <w:color w:val="191919"/>
                <w:sz w:val="28"/>
                <w:szCs w:val="28"/>
                <w:lang w:val="en-US"/>
              </w:rPr>
              <w:t xml:space="preserve">Parties can also agree to </w:t>
            </w:r>
            <w:hyperlink r:id="rId7" w:history="1">
              <w:r>
                <w:rPr>
                  <w:rFonts w:ascii="Arial" w:hAnsi="Arial" w:cs="Arial"/>
                  <w:b/>
                  <w:bCs/>
                  <w:i/>
                  <w:iCs/>
                  <w:color w:val="094771"/>
                  <w:sz w:val="28"/>
                  <w:szCs w:val="28"/>
                  <w:lang w:val="en-US"/>
                </w:rPr>
                <w:t xml:space="preserve">Grossing up </w:t>
              </w:r>
            </w:hyperlink>
            <w:r>
              <w:rPr>
                <w:rFonts w:ascii="Arial" w:hAnsi="Arial" w:cs="Arial"/>
                <w:color w:val="191919"/>
                <w:sz w:val="28"/>
                <w:szCs w:val="28"/>
                <w:lang w:val="en-US"/>
              </w:rPr>
              <w:t>provisions, under which the amount payable as damages is increased to compensate for any tax liability or withholding the claimant may have to pay or incur on the payment.</w:t>
            </w:r>
          </w:p>
        </w:tc>
        <w:tc>
          <w:tcPr>
            <w:tcW w:w="4200" w:type="dxa"/>
            <w:tcBorders>
              <w:top w:val="single" w:sz="8" w:space="0" w:color="000000"/>
              <w:left w:val="single" w:sz="8" w:space="0" w:color="000000"/>
              <w:bottom w:val="single" w:sz="8" w:space="0" w:color="000000"/>
            </w:tcBorders>
            <w:tcMar>
              <w:top w:w="100" w:type="nil"/>
              <w:left w:w="100" w:type="nil"/>
              <w:bottom w:w="100" w:type="nil"/>
              <w:right w:w="100" w:type="nil"/>
            </w:tcMar>
          </w:tcPr>
          <w:p w14:paraId="25D07F23" w14:textId="77777777" w:rsidR="00385874" w:rsidRDefault="00385874" w:rsidP="00385874">
            <w:pPr>
              <w:widowControl w:val="0"/>
              <w:autoSpaceDE w:val="0"/>
              <w:autoSpaceDN w:val="0"/>
              <w:adjustRightInd w:val="0"/>
              <w:rPr>
                <w:rFonts w:ascii="Arial" w:hAnsi="Arial" w:cs="Arial"/>
                <w:color w:val="191919"/>
                <w:sz w:val="28"/>
                <w:szCs w:val="28"/>
                <w:lang w:val="en-US"/>
              </w:rPr>
            </w:pPr>
            <w:r>
              <w:rPr>
                <w:rFonts w:ascii="Arial" w:hAnsi="Arial" w:cs="Arial"/>
                <w:color w:val="191919"/>
                <w:sz w:val="28"/>
                <w:szCs w:val="28"/>
                <w:lang w:val="en-US"/>
              </w:rPr>
              <w:t>Grossing up provisions would normally be unenforceable, although sometimes they are instead indirectly dealt with by pricing assumptions.</w:t>
            </w:r>
          </w:p>
        </w:tc>
      </w:tr>
    </w:tbl>
    <w:p w14:paraId="7ABF41AD" w14:textId="77777777" w:rsidR="007A49B1" w:rsidRDefault="007A49B1" w:rsidP="007A49B1">
      <w:pPr>
        <w:widowControl w:val="0"/>
        <w:autoSpaceDE w:val="0"/>
        <w:autoSpaceDN w:val="0"/>
        <w:adjustRightInd w:val="0"/>
        <w:rPr>
          <w:rFonts w:ascii="Arial" w:hAnsi="Arial" w:cs="Arial"/>
          <w:color w:val="191919"/>
          <w:sz w:val="28"/>
          <w:szCs w:val="28"/>
          <w:lang w:val="en-US"/>
        </w:rPr>
      </w:pPr>
    </w:p>
    <w:p w14:paraId="16477DEA" w14:textId="77777777" w:rsidR="007A49B1" w:rsidRDefault="007A49B1" w:rsidP="007A49B1">
      <w:pPr>
        <w:widowControl w:val="0"/>
        <w:autoSpaceDE w:val="0"/>
        <w:autoSpaceDN w:val="0"/>
        <w:adjustRightInd w:val="0"/>
        <w:rPr>
          <w:rFonts w:ascii="Arial" w:hAnsi="Arial" w:cs="Arial"/>
          <w:color w:val="191919"/>
          <w:sz w:val="28"/>
          <w:szCs w:val="28"/>
          <w:lang w:val="en-US"/>
        </w:rPr>
      </w:pPr>
    </w:p>
    <w:p w14:paraId="4FB63B6B" w14:textId="77777777" w:rsidR="00247969" w:rsidRDefault="007A49B1" w:rsidP="007A49B1">
      <w:r>
        <w:rPr>
          <w:rFonts w:ascii="Arial" w:hAnsi="Arial" w:cs="Arial"/>
          <w:color w:val="191919"/>
          <w:sz w:val="28"/>
          <w:szCs w:val="28"/>
          <w:lang w:val="en-US"/>
        </w:rPr>
        <w:t> </w:t>
      </w:r>
    </w:p>
    <w:sectPr w:rsidR="00247969" w:rsidSect="006E09D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9B1"/>
    <w:rsid w:val="00247969"/>
    <w:rsid w:val="00385874"/>
    <w:rsid w:val="006E09D6"/>
    <w:rsid w:val="007A49B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1FBE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uk.practicallaw.com/8-107-4864" TargetMode="External"/><Relationship Id="rId7" Type="http://schemas.openxmlformats.org/officeDocument/2006/relationships/hyperlink" Target="http://uk.practicallaw.com/1-107-6673"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2349</Characters>
  <Application>Microsoft Macintosh Word</Application>
  <DocSecurity>0</DocSecurity>
  <Lines>19</Lines>
  <Paragraphs>5</Paragraphs>
  <ScaleCrop>false</ScaleCrop>
  <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2014-05-03T15:17:00Z</dcterms:created>
  <dcterms:modified xsi:type="dcterms:W3CDTF">2014-05-03T15:18:00Z</dcterms:modified>
</cp:coreProperties>
</file>